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8B0772">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8B0772">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8B0772">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8B0772">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8B0772">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8B0772">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8B0772">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8B0772">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8B0772">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8B0772">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8B0772">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8B0772">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8B0772">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8B0772">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8B0772">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8B0772">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8B0772">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8B0772">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8B0772">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8B0772">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8B0772">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8B0772">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8B0772">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8B0772">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8B0772"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8B0772">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8B0772">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8B0772">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8B0772">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8B0772">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8B0772">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8B0772">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8B0772">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8B0772">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8B0772">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8B0772">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8B0772">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8B0772">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8B0772">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8B0772">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8B0772">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8B0772">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8B0772">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8B0772">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8B0772">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8B0772">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8B0772">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8B0772">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8B0772">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8B0772">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8B0772">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8B0772">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8B0772">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8B0772">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8B0772">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8B0772">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8B0772">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8B0772">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8B0772">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8B0772">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8B0772">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8B0772">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8B0772">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8B0772">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8B0772">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8B0772">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8B0772">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8B0772">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8B0772">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8B0772">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8B0772">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8B0772">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w:t>
      </w:r>
      <w:proofErr w:type="spellStart"/>
      <w:r w:rsidR="006A6530">
        <w:rPr>
          <w:rFonts w:ascii="Arial" w:hAnsi="Arial" w:cs="Arial"/>
          <w:sz w:val="24"/>
          <w:szCs w:val="24"/>
        </w:rPr>
        <w:t>geoestatístico</w:t>
      </w:r>
      <w:proofErr w:type="spellEnd"/>
      <w:r w:rsidR="006A6530">
        <w:rPr>
          <w:rFonts w:ascii="Arial" w:hAnsi="Arial" w:cs="Arial"/>
          <w:sz w:val="24"/>
          <w:szCs w:val="24"/>
        </w:rPr>
        <w:t xml:space="preserve">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w:t>
      </w:r>
      <w:proofErr w:type="spellStart"/>
      <w:r w:rsidR="00A47866">
        <w:rPr>
          <w:rFonts w:ascii="Arial" w:hAnsi="Arial" w:cs="Arial"/>
          <w:sz w:val="24"/>
          <w:szCs w:val="24"/>
        </w:rPr>
        <w:t>geostatístico</w:t>
      </w:r>
      <w:proofErr w:type="spellEnd"/>
      <w:r w:rsidR="00A47866">
        <w:rPr>
          <w:rFonts w:ascii="Arial" w:hAnsi="Arial" w:cs="Arial"/>
          <w:sz w:val="24"/>
          <w:szCs w:val="24"/>
        </w:rPr>
        <w:t xml:space="preserve">, aplicando algoritmos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para dados na porção estruturada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e simulações gaussianas para dados na porção não estruturada, permitindo melhor desempenho na estimativa de dados nas porções não estruturadas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w:t>
      </w:r>
      <w:proofErr w:type="spellStart"/>
      <w:r w:rsidR="00A47866">
        <w:rPr>
          <w:rFonts w:ascii="Arial" w:hAnsi="Arial" w:cs="Arial"/>
          <w:sz w:val="24"/>
          <w:szCs w:val="24"/>
        </w:rPr>
        <w:t>Hengl</w:t>
      </w:r>
      <w:proofErr w:type="spellEnd"/>
      <w:r w:rsidR="00A47866">
        <w:rPr>
          <w:rFonts w:ascii="Arial" w:hAnsi="Arial" w:cs="Arial"/>
          <w:sz w:val="24"/>
          <w:szCs w:val="24"/>
        </w:rPr>
        <w:t xml:space="preserve"> et al., 2007; Hansen et al., 2006) e evitando as feições suavizadas características de algoritmos baseados unicamente em métodos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w:t>
      </w:r>
      <w:proofErr w:type="spellStart"/>
      <w:r w:rsidR="006D5136">
        <w:rPr>
          <w:rFonts w:ascii="Arial" w:hAnsi="Arial" w:cs="Arial"/>
          <w:sz w:val="24"/>
          <w:szCs w:val="24"/>
        </w:rPr>
        <w:t>sub-sísmicas</w:t>
      </w:r>
      <w:proofErr w:type="spellEnd"/>
      <w:r w:rsidR="006D5136">
        <w:rPr>
          <w:rFonts w:ascii="Arial" w:hAnsi="Arial" w:cs="Arial"/>
          <w:sz w:val="24"/>
          <w:szCs w:val="24"/>
        </w:rPr>
        <w:t>,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-tracking são associados a altos graus de fraturamento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xml:space="preserve">, 2019). Como o cálculo de volumes, objetivo final deste estudo, </w:t>
      </w:r>
      <w:r w:rsidRPr="00403851">
        <w:rPr>
          <w:rFonts w:ascii="Arial" w:hAnsi="Arial" w:cs="Arial"/>
          <w:sz w:val="24"/>
          <w:szCs w:val="24"/>
        </w:rPr>
        <w:lastRenderedPageBreak/>
        <w:t>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fraturamento: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fraturamento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8B0772"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8B0772"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D34B0E" w:rsidRPr="00075389" w:rsidRDefault="00D34B0E"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D34B0E" w:rsidRPr="00075389" w:rsidRDefault="00D34B0E"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8B0772"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proofErr w:type="spellStart"/>
      <w:r w:rsidR="00222AE4" w:rsidRPr="00222AE4">
        <w:rPr>
          <w:rFonts w:ascii="Arial" w:hAnsi="Arial" w:cs="Arial"/>
          <w:i/>
          <w:sz w:val="24"/>
          <w:szCs w:val="24"/>
        </w:rPr>
        <w:t>upscaling</w:t>
      </w:r>
      <w:proofErr w:type="spellEnd"/>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w:t>
      </w:r>
      <w:proofErr w:type="spellStart"/>
      <w:r w:rsidR="00CA6468">
        <w:rPr>
          <w:rFonts w:ascii="Arial" w:hAnsi="Arial" w:cs="Arial"/>
          <w:sz w:val="24"/>
          <w:szCs w:val="24"/>
        </w:rPr>
        <w:t>ant</w:t>
      </w:r>
      <w:proofErr w:type="spellEnd"/>
      <w:r w:rsidR="00CA6468">
        <w:rPr>
          <w:rFonts w:ascii="Arial" w:hAnsi="Arial" w:cs="Arial"/>
          <w:sz w:val="24"/>
          <w:szCs w:val="24"/>
        </w:rPr>
        <w:t xml:space="preserve">-tracking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proofErr w:type="spellStart"/>
      <w:r w:rsidRPr="0041224B">
        <w:rPr>
          <w:rFonts w:ascii="Arial" w:eastAsia="Times New Roman" w:hAnsi="Arial" w:cs="Arial"/>
          <w:b/>
          <w:sz w:val="24"/>
          <w:szCs w:val="24"/>
        </w:rPr>
        <w:lastRenderedPageBreak/>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8B0772"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8B0772"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8B0772"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-Tracking como uma medida do grau de fraturamento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w:t>
      </w:r>
      <w:r>
        <w:rPr>
          <w:rFonts w:ascii="Arial" w:hAnsi="Arial" w:cs="Arial"/>
          <w:b/>
          <w:color w:val="auto"/>
          <w:sz w:val="20"/>
          <w:szCs w:val="20"/>
        </w:rPr>
        <w:t>o</w:t>
      </w:r>
      <w:proofErr w:type="gramEnd"/>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 xml:space="preserve">Os resultados obtidos corroboram com as observações de </w:t>
      </w:r>
      <w:proofErr w:type="spellStart"/>
      <w:r>
        <w:rPr>
          <w:rFonts w:ascii="Arial" w:hAnsi="Arial" w:cs="Arial"/>
          <w:sz w:val="24"/>
          <w:szCs w:val="24"/>
        </w:rPr>
        <w:t>Tomaso</w:t>
      </w:r>
      <w:proofErr w:type="spellEnd"/>
      <w:r>
        <w:rPr>
          <w:rFonts w:ascii="Arial" w:hAnsi="Arial" w:cs="Arial"/>
          <w:sz w:val="24"/>
          <w:szCs w:val="24"/>
        </w:rPr>
        <w:t xml:space="preserve">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w:t>
      </w:r>
      <w:proofErr w:type="spellStart"/>
      <w:r w:rsidR="0045548B">
        <w:rPr>
          <w:rFonts w:ascii="Arial" w:hAnsi="Arial" w:cs="Arial"/>
          <w:sz w:val="24"/>
          <w:szCs w:val="24"/>
        </w:rPr>
        <w:t>cut-offs</w:t>
      </w:r>
      <w:proofErr w:type="spellEnd"/>
      <w:r w:rsidR="0045548B">
        <w:rPr>
          <w:rFonts w:ascii="Arial" w:hAnsi="Arial" w:cs="Arial"/>
          <w:sz w:val="24"/>
          <w:szCs w:val="24"/>
        </w:rPr>
        <w:t xml:space="preserve"> mínimos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e analisar a quais zonas cada célula pertence é possível representar de maneira simples este zoneamento (Figura 22). As células com valores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fraturamento, 60% a 75% dos valores encontram-se na Zona Sul. Para os poucos (n = 151) valores positivos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por média móvel apresentado anteriormente (Figura 12), os dados de petrofísica de poço foram transformados da escala de poço para a escala do modelo estrutural,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células que interceptam os poços e criando grids colunares. A distribuição estatística dos dados antes e depois da transformação é utilizada para avaliar o resultado do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Em seguida é feito o modelamento </w:t>
      </w:r>
      <w:proofErr w:type="spellStart"/>
      <w:r w:rsidRPr="000379D6">
        <w:rPr>
          <w:rFonts w:ascii="Arial" w:hAnsi="Arial" w:cs="Arial"/>
          <w:sz w:val="24"/>
          <w:szCs w:val="24"/>
        </w:rPr>
        <w:t>geoestatístico</w:t>
      </w:r>
      <w:proofErr w:type="spellEnd"/>
      <w:r w:rsidRPr="000379D6">
        <w:rPr>
          <w:rFonts w:ascii="Arial" w:hAnsi="Arial" w:cs="Arial"/>
          <w:sz w:val="24"/>
          <w:szCs w:val="24"/>
        </w:rPr>
        <w:t xml:space="preserve"> destas propriedades para as zonas </w:t>
      </w:r>
      <w:proofErr w:type="spellStart"/>
      <w:r w:rsidRPr="000379D6">
        <w:rPr>
          <w:rFonts w:ascii="Arial" w:hAnsi="Arial" w:cs="Arial"/>
          <w:sz w:val="24"/>
          <w:szCs w:val="24"/>
        </w:rPr>
        <w:t>inter-poços</w:t>
      </w:r>
      <w:proofErr w:type="spellEnd"/>
      <w:r w:rsidRPr="000379D6">
        <w:rPr>
          <w:rFonts w:ascii="Arial" w:hAnsi="Arial" w:cs="Arial"/>
          <w:sz w:val="24"/>
          <w:szCs w:val="24"/>
        </w:rPr>
        <w:t xml:space="preserve">,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o modelo de reservatório com valores para as medidas petrofísicas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petrofísica de poço. As propriedades foram modeladas utilizando o algoritmo de GRFS (</w:t>
      </w:r>
      <w:proofErr w:type="spellStart"/>
      <w:r w:rsidRPr="000379D6">
        <w:rPr>
          <w:rFonts w:ascii="Arial" w:hAnsi="Arial" w:cs="Arial"/>
          <w:sz w:val="24"/>
          <w:szCs w:val="24"/>
        </w:rPr>
        <w:t>Gaussian</w:t>
      </w:r>
      <w:proofErr w:type="spellEnd"/>
      <w:r w:rsidRPr="000379D6">
        <w:rPr>
          <w:rFonts w:ascii="Arial" w:hAnsi="Arial" w:cs="Arial"/>
          <w:sz w:val="24"/>
          <w:szCs w:val="24"/>
        </w:rPr>
        <w:t xml:space="preserve"> </w:t>
      </w:r>
      <w:proofErr w:type="spellStart"/>
      <w:r w:rsidRPr="000379D6">
        <w:rPr>
          <w:rFonts w:ascii="Arial" w:hAnsi="Arial" w:cs="Arial"/>
          <w:sz w:val="24"/>
          <w:szCs w:val="24"/>
        </w:rPr>
        <w:t>Random</w:t>
      </w:r>
      <w:proofErr w:type="spellEnd"/>
      <w:r w:rsidRPr="000379D6">
        <w:rPr>
          <w:rFonts w:ascii="Arial" w:hAnsi="Arial" w:cs="Arial"/>
          <w:sz w:val="24"/>
          <w:szCs w:val="24"/>
        </w:rPr>
        <w:t xml:space="preserve"> </w:t>
      </w:r>
      <w:proofErr w:type="spellStart"/>
      <w:r w:rsidRPr="000379D6">
        <w:rPr>
          <w:rFonts w:ascii="Arial" w:hAnsi="Arial" w:cs="Arial"/>
          <w:sz w:val="24"/>
          <w:szCs w:val="24"/>
        </w:rPr>
        <w:t>Function</w:t>
      </w:r>
      <w:proofErr w:type="spellEnd"/>
      <w:r w:rsidRPr="000379D6">
        <w:rPr>
          <w:rFonts w:ascii="Arial" w:hAnsi="Arial" w:cs="Arial"/>
          <w:sz w:val="24"/>
          <w:szCs w:val="24"/>
        </w:rPr>
        <w:t xml:space="preserve"> </w:t>
      </w:r>
      <w:proofErr w:type="spellStart"/>
      <w:r w:rsidRPr="000379D6">
        <w:rPr>
          <w:rFonts w:ascii="Arial" w:hAnsi="Arial" w:cs="Arial"/>
          <w:sz w:val="24"/>
          <w:szCs w:val="24"/>
        </w:rPr>
        <w:t>Simulation</w:t>
      </w:r>
      <w:proofErr w:type="spellEnd"/>
      <w:r w:rsidRPr="000379D6">
        <w:rPr>
          <w:rFonts w:ascii="Arial" w:hAnsi="Arial" w:cs="Arial"/>
          <w:sz w:val="24"/>
          <w:szCs w:val="24"/>
        </w:rPr>
        <w:t xml:space="preserve">, GRFS), onde valores na porção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modelados usando técnicas </w:t>
      </w:r>
      <w:proofErr w:type="spellStart"/>
      <w:r w:rsidRPr="000379D6">
        <w:rPr>
          <w:rFonts w:ascii="Arial" w:hAnsi="Arial" w:cs="Arial"/>
          <w:sz w:val="24"/>
          <w:szCs w:val="24"/>
        </w:rPr>
        <w:t>krigagem</w:t>
      </w:r>
      <w:proofErr w:type="spellEnd"/>
      <w:r w:rsidRPr="000379D6">
        <w:rPr>
          <w:rFonts w:ascii="Arial" w:hAnsi="Arial" w:cs="Arial"/>
          <w:sz w:val="24"/>
          <w:szCs w:val="24"/>
        </w:rPr>
        <w:t xml:space="preserve"> e valores na porção não </w:t>
      </w:r>
      <w:r w:rsidRPr="000379D6">
        <w:rPr>
          <w:rFonts w:ascii="Arial" w:hAnsi="Arial" w:cs="Arial"/>
          <w:sz w:val="24"/>
          <w:szCs w:val="24"/>
        </w:rPr>
        <w:lastRenderedPageBreak/>
        <w:t xml:space="preserve">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w:t>
      </w:r>
      <w:proofErr w:type="spellStart"/>
      <w:r w:rsidR="000379D6">
        <w:rPr>
          <w:rFonts w:ascii="Arial" w:hAnsi="Arial" w:cs="Arial"/>
          <w:sz w:val="24"/>
          <w:szCs w:val="24"/>
        </w:rPr>
        <w:t>upscaling</w:t>
      </w:r>
      <w:proofErr w:type="spellEnd"/>
      <w:r w:rsidR="000379D6">
        <w:rPr>
          <w:rFonts w:ascii="Arial" w:hAnsi="Arial" w:cs="Arial"/>
          <w:sz w:val="24"/>
          <w:szCs w:val="24"/>
        </w:rPr>
        <w:t xml:space="preserve">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3A0BB33F">
            <wp:extent cx="5874062" cy="762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888042"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bookmarkStart w:id="55" w:name="_GoBack"/>
      <w:bookmarkEnd w:id="55"/>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7777777"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proofErr w:type="spellStart"/>
      <w:r w:rsidRPr="007B10EB">
        <w:rPr>
          <w:rFonts w:ascii="Arial" w:eastAsia="Times New Roman" w:hAnsi="Arial" w:cs="Arial"/>
          <w:bCs/>
          <w:i/>
          <w:iCs/>
          <w:sz w:val="24"/>
          <w:szCs w:val="24"/>
        </w:rPr>
        <w:t>upscaling</w:t>
      </w:r>
      <w:proofErr w:type="spellEnd"/>
      <w:r w:rsidRPr="007B10EB">
        <w:rPr>
          <w:rFonts w:ascii="Arial" w:eastAsia="Times New Roman" w:hAnsi="Arial" w:cs="Arial"/>
          <w:bCs/>
          <w:sz w:val="24"/>
          <w:szCs w:val="24"/>
        </w:rPr>
        <w:t xml:space="preserve"> dos dados de GR, quando comparado aos dados de poço subestima a quantidade de células com valores entre 30 e 40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no entanto, a distribuição dos dados de poço é mantida de maneira geral (Figura 23). Nas visualizações em mapa e perfil é possível observar uma transição de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em células mais profundas próximas ao contato óleo-água para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para células mais próximas ao horizonte do topo do Quissamã. Os valores médios de GR são similares na porção sul e norte do reservatório com coeficientes de variação similares nas 2 zonas (Tabela 6). É possível diferenciar a variância nas duas zonas na visão em perfil, onde a porção norte mostra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intercalados com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enquanto a porção sul apresenta transição mais relacionada com a profundidade (Figura 24).</w:t>
      </w:r>
    </w:p>
    <w:p w14:paraId="69F7EF18" w14:textId="6065977A"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lastRenderedPageBreak/>
        <w:t xml:space="preserve">Os resultados do modelamento de dados de raio gama sugerem a ocorrência de fácies folhelho ou granulometrias mais finas cobrindo e se intercalando às sequências carbonáticas do Quissamã, em especial em regiões próximas ao topo da Formação, sugerindo </w:t>
      </w:r>
      <w:proofErr w:type="spellStart"/>
      <w:r w:rsidRPr="007B10EB">
        <w:rPr>
          <w:rFonts w:ascii="Arial" w:eastAsia="Times New Roman" w:hAnsi="Arial" w:cs="Arial"/>
          <w:bCs/>
          <w:sz w:val="24"/>
          <w:szCs w:val="24"/>
        </w:rPr>
        <w:t>inicio</w:t>
      </w:r>
      <w:proofErr w:type="spellEnd"/>
      <w:r w:rsidRPr="007B10EB">
        <w:rPr>
          <w:rFonts w:ascii="Arial" w:eastAsia="Times New Roman" w:hAnsi="Arial" w:cs="Arial"/>
          <w:bCs/>
          <w:sz w:val="24"/>
          <w:szCs w:val="24"/>
        </w:rPr>
        <w:t xml:space="preserve"> de transição para a Formação Outeiro. Ao mesmo tempo, os valores mais altos associados ao alto estrutural na porção sul do reservatório também podem estar associados a presença de hidrocarbonetos.</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5EA827FA" w:rsidR="003258A5" w:rsidRPr="001A2263" w:rsidRDefault="003258A5" w:rsidP="003258A5">
      <w:pPr>
        <w:pStyle w:val="Legenda"/>
        <w:rPr>
          <w:rFonts w:ascii="Arial" w:hAnsi="Arial" w:cs="Arial"/>
          <w:b/>
          <w:color w:val="auto"/>
          <w:sz w:val="20"/>
          <w:szCs w:val="20"/>
        </w:rPr>
      </w:pPr>
      <w:bookmarkStart w:id="56"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6"/>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subestimam valores em torno de 30 </w:t>
      </w:r>
      <w:proofErr w:type="spellStart"/>
      <w:proofErr w:type="gramStart"/>
      <w:r>
        <w:rPr>
          <w:rFonts w:ascii="Arial" w:hAnsi="Arial" w:cs="Arial"/>
          <w:b/>
          <w:color w:val="auto"/>
          <w:sz w:val="20"/>
          <w:szCs w:val="20"/>
        </w:rPr>
        <w:t>gAPI</w:t>
      </w:r>
      <w:proofErr w:type="spellEnd"/>
      <w:proofErr w:type="gramEnd"/>
      <w:r w:rsidR="00EF56DE">
        <w:rPr>
          <w:rFonts w:ascii="Arial" w:hAnsi="Arial" w:cs="Arial"/>
          <w:b/>
          <w:color w:val="auto"/>
          <w:sz w:val="20"/>
          <w:szCs w:val="20"/>
        </w:rPr>
        <w:t xml:space="preserve"> mas honram de maneira geral a distribuição original dos dados de poço. Dados modelados (em azul) mantem a distribuição dos dados de entrada (em rosa).</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7"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7"/>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 xml:space="preserve">Os dados de perfil sônico apresentam uma distribuição aproximadamente normal com média em torno de 80 </w:t>
      </w:r>
      <w:proofErr w:type="spellStart"/>
      <w:r w:rsidR="007B10EB" w:rsidRPr="007B10EB">
        <w:rPr>
          <w:rFonts w:ascii="Arial" w:eastAsia="Times New Roman" w:hAnsi="Arial" w:cs="Arial"/>
          <w:bCs/>
          <w:sz w:val="24"/>
          <w:szCs w:val="24"/>
        </w:rPr>
        <w:t>μs</w:t>
      </w:r>
      <w:proofErr w:type="spellEnd"/>
      <w:r w:rsidR="007B10EB" w:rsidRPr="007B10EB">
        <w:rPr>
          <w:rFonts w:ascii="Arial" w:eastAsia="Times New Roman" w:hAnsi="Arial" w:cs="Arial"/>
          <w:bCs/>
          <w:sz w:val="24"/>
          <w:szCs w:val="24"/>
        </w:rPr>
        <w:t>/</w:t>
      </w:r>
      <w:proofErr w:type="spellStart"/>
      <w:r w:rsidR="007B10EB" w:rsidRPr="007B10EB">
        <w:rPr>
          <w:rFonts w:ascii="Arial" w:eastAsia="Times New Roman" w:hAnsi="Arial" w:cs="Arial"/>
          <w:bCs/>
          <w:sz w:val="24"/>
          <w:szCs w:val="24"/>
        </w:rPr>
        <w:t>ft</w:t>
      </w:r>
      <w:proofErr w:type="spellEnd"/>
      <w:r w:rsidR="007B10EB" w:rsidRPr="007B10EB">
        <w:rPr>
          <w:rFonts w:ascii="Arial" w:eastAsia="Times New Roman" w:hAnsi="Arial" w:cs="Arial"/>
          <w:bCs/>
          <w:sz w:val="24"/>
          <w:szCs w:val="24"/>
        </w:rPr>
        <w:t xml:space="preserve"> tanto para os dados de entrada como para os dados após </w:t>
      </w:r>
      <w:proofErr w:type="spellStart"/>
      <w:r w:rsidR="007B10EB" w:rsidRPr="007B10EB">
        <w:rPr>
          <w:rFonts w:ascii="Arial" w:eastAsia="Times New Roman" w:hAnsi="Arial" w:cs="Arial"/>
          <w:bCs/>
          <w:sz w:val="24"/>
          <w:szCs w:val="24"/>
        </w:rPr>
        <w:t>upscaling</w:t>
      </w:r>
      <w:proofErr w:type="spellEnd"/>
      <w:r w:rsidR="007B10EB" w:rsidRPr="007B10EB">
        <w:rPr>
          <w:rFonts w:ascii="Arial" w:eastAsia="Times New Roman" w:hAnsi="Arial" w:cs="Arial"/>
          <w:bCs/>
          <w:sz w:val="24"/>
          <w:szCs w:val="24"/>
        </w:rPr>
        <w:t xml:space="preserve">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196204FA"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Os valores obtidos para o modelo variam primariamente entre 60 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valores consideravelmente superiores aos valores típicos entre 40 e 50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para minerais carbonáticos como calcita e dolomita, sendo valores esperados para filosilicatos como feldspatos ou argilas. O perfil sônico, no entanto, é altamente influenciado pela porosidade, uma vez que a resposta de fluídos no perfil é muito alta, assim provavelmente explicando os valores observados. Ao mesmo tempo, os valores em torno de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próximos ao topo do Quissamã podem fornecer evidência de transição de fácies,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38C255AB"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a distribuição original aproximadamente normal dos dados de poço. Dados modelados (em azul) mantem a distribuição dos dados de entrada (em rosa).</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77777777"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Os modelos de Densidade apresentam valores principalmente concentrados entre 2,3 g/cm³ e 2,5 g/cm³, com valores mínimos de 2,1 g/cm³ e máximos de 2,7g/cm³ e baixa variância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5593925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 xml:space="preserve">Na visualização em perfil é possível notar uma região de baixa densidade associada ao alto estrutural na porção sudoeste do reservatório, sugerindo uma região de alta porosidade em meio ao reservatório. Outras camadas de baixa </w:t>
      </w:r>
      <w:proofErr w:type="gramStart"/>
      <w:r w:rsidRPr="00EB32C0">
        <w:rPr>
          <w:rFonts w:ascii="Arial" w:eastAsia="Times New Roman" w:hAnsi="Arial" w:cs="Arial"/>
          <w:bCs/>
          <w:sz w:val="24"/>
          <w:szCs w:val="24"/>
        </w:rPr>
        <w:t>densidade podem</w:t>
      </w:r>
      <w:proofErr w:type="gramEnd"/>
      <w:r w:rsidRPr="00EB32C0">
        <w:rPr>
          <w:rFonts w:ascii="Arial" w:eastAsia="Times New Roman" w:hAnsi="Arial" w:cs="Arial"/>
          <w:bCs/>
          <w:sz w:val="24"/>
          <w:szCs w:val="24"/>
        </w:rPr>
        <w:t xml:space="preserve"> ser observadas ao longo do perfil, em especial na região nordeste do modelo, com muitas pequenas intercalações de zonas de baixa densidade com alta densidade, 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568653B6"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e concentram-se em valores entre 2,3 g/cm³ e 2,5 g/cm³. Dados modelados (em azul) mantem a distribuição dos dados de entrada (em rosa).</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4E823D90"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baixa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proofErr w:type="spellStart"/>
      <w:r w:rsidRPr="00366C5C">
        <w:rPr>
          <w:rFonts w:ascii="Arial" w:eastAsia="Times New Roman" w:hAnsi="Arial" w:cs="Arial"/>
          <w:bCs/>
          <w:sz w:val="24"/>
          <w:szCs w:val="24"/>
        </w:rPr>
        <w:t>Bla</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w:t>
      </w:r>
    </w:p>
    <w:p w14:paraId="2B8D3A7D"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6730AEAA" w14:textId="2FC6D94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p>
    <w:p w14:paraId="3449F36B"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proofErr w:type="spellStart"/>
      <w:r w:rsidRPr="00366C5C">
        <w:rPr>
          <w:rFonts w:ascii="Arial" w:eastAsia="Times New Roman" w:hAnsi="Arial" w:cs="Arial"/>
          <w:bCs/>
          <w:sz w:val="24"/>
          <w:szCs w:val="24"/>
        </w:rPr>
        <w:t>Bla</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w:t>
      </w:r>
    </w:p>
    <w:p w14:paraId="7A8A19AF"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05744182" w14:textId="4FD0A7D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Correlações entre propriedades modeladas</w:t>
      </w:r>
    </w:p>
    <w:p w14:paraId="725DCAAE"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proofErr w:type="spellStart"/>
      <w:r w:rsidRPr="00366C5C">
        <w:rPr>
          <w:rFonts w:ascii="Arial" w:eastAsia="Times New Roman" w:hAnsi="Arial" w:cs="Arial"/>
          <w:bCs/>
          <w:sz w:val="24"/>
          <w:szCs w:val="24"/>
        </w:rPr>
        <w:t>Bla</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w:t>
      </w:r>
    </w:p>
    <w:p w14:paraId="12C435F5"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058323F7" w14:textId="2179AF5E" w:rsidR="00366C5C" w:rsidRPr="00366C5C" w:rsidRDefault="00366C5C" w:rsidP="00366C5C">
      <w:pPr>
        <w:spacing w:line="360" w:lineRule="auto"/>
        <w:jc w:val="both"/>
        <w:rPr>
          <w:rFonts w:ascii="Arial" w:hAnsi="Arial" w:cs="Arial"/>
          <w:sz w:val="24"/>
          <w:szCs w:val="24"/>
        </w:rPr>
      </w:pPr>
    </w:p>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tab/>
      </w:r>
      <w:bookmarkStart w:id="5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8"/>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5">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59" w:name="_Toc32229553"/>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59"/>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46">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60"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w:t>
      </w:r>
      <w:proofErr w:type="gramStart"/>
      <w:r w:rsidRPr="00D230EE">
        <w:rPr>
          <w:rFonts w:ascii="Arial" w:hAnsi="Arial" w:cs="Arial"/>
          <w:b/>
          <w:bCs/>
          <w:color w:val="auto"/>
          <w:sz w:val="20"/>
          <w:szCs w:val="20"/>
        </w:rPr>
        <w:t>diferente classes</w:t>
      </w:r>
      <w:proofErr w:type="gramEnd"/>
      <w:r w:rsidRPr="00D230EE">
        <w:rPr>
          <w:rFonts w:ascii="Arial" w:hAnsi="Arial" w:cs="Arial"/>
          <w:b/>
          <w:bCs/>
          <w:color w:val="auto"/>
          <w:sz w:val="20"/>
          <w:szCs w:val="20"/>
        </w:rPr>
        <w:t>.</w:t>
      </w:r>
      <w:bookmarkEnd w:id="60"/>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47">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61"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61"/>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62" w:name="_Toc32229566"/>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62"/>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48">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63"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63"/>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49">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0">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64"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64"/>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1">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65"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65"/>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2">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66"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66"/>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67" w:name="_Toc12834451"/>
      <w:r>
        <w:rPr>
          <w:rFonts w:ascii="Arial" w:hAnsi="Arial" w:cs="Arial"/>
          <w:b/>
          <w:sz w:val="24"/>
          <w:szCs w:val="24"/>
        </w:rPr>
        <w:t>Cálculos de Volume</w:t>
      </w:r>
      <w:bookmarkEnd w:id="67"/>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68"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68"/>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3">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69"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69"/>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4">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70"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70"/>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55">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39C44BF2"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w:t>
      </w:r>
      <w:proofErr w:type="spellStart"/>
      <w:r w:rsidR="00F1260D">
        <w:rPr>
          <w:rFonts w:ascii="Arial" w:hAnsi="Arial" w:cs="Arial"/>
          <w:sz w:val="24"/>
          <w:szCs w:val="24"/>
        </w:rPr>
        <w:t>deporosidade</w:t>
      </w:r>
      <w:proofErr w:type="spellEnd"/>
      <w:r w:rsidR="00F1260D">
        <w:rPr>
          <w:rFonts w:ascii="Arial" w:hAnsi="Arial" w:cs="Arial"/>
          <w:sz w:val="24"/>
          <w:szCs w:val="24"/>
        </w:rPr>
        <w:t xml:space="preserv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1" w:name="_Toc12834452"/>
      <w:bookmarkStart w:id="72" w:name="_Hlk12832429"/>
      <w:r>
        <w:rPr>
          <w:rFonts w:ascii="Arial" w:eastAsia="Times New Roman" w:hAnsi="Arial" w:cs="Arial"/>
          <w:b/>
          <w:sz w:val="28"/>
          <w:szCs w:val="28"/>
        </w:rPr>
        <w:lastRenderedPageBreak/>
        <w:t>CONCLUSÕES</w:t>
      </w:r>
      <w:bookmarkEnd w:id="71"/>
    </w:p>
    <w:bookmarkEnd w:id="72"/>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3" w:name="_Toc12834453"/>
      <w:r>
        <w:rPr>
          <w:rFonts w:ascii="Arial" w:eastAsia="Times New Roman" w:hAnsi="Arial" w:cs="Arial"/>
          <w:b/>
          <w:sz w:val="28"/>
          <w:szCs w:val="28"/>
        </w:rPr>
        <w:t>REFERÊNCIAS BIBLIOGRÁFICAS</w:t>
      </w:r>
      <w:bookmarkEnd w:id="73"/>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D7197"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4D7197">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4D7197">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xml:space="preserve">, J., 2011. </w:t>
      </w:r>
      <w:proofErr w:type="spellStart"/>
      <w:r w:rsidRPr="00540F04">
        <w:rPr>
          <w:rFonts w:ascii="Arial" w:eastAsia="Times New Roman" w:hAnsi="Arial" w:cs="Arial"/>
          <w:bCs/>
          <w:lang w:val="en-US"/>
        </w:rPr>
        <w:t>Scikit</w:t>
      </w:r>
      <w:proofErr w:type="spellEnd"/>
      <w:r w:rsidRPr="00540F04">
        <w:rPr>
          <w:rFonts w:ascii="Arial" w:eastAsia="Times New Roman" w:hAnsi="Arial" w:cs="Arial"/>
          <w:bCs/>
          <w:lang w:val="en-US"/>
        </w:rPr>
        <w: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56"/>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AEBCC" w14:textId="77777777" w:rsidR="008B0772" w:rsidRDefault="008B0772" w:rsidP="00DD5D20">
      <w:pPr>
        <w:spacing w:after="0" w:line="240" w:lineRule="auto"/>
      </w:pPr>
      <w:r>
        <w:separator/>
      </w:r>
    </w:p>
  </w:endnote>
  <w:endnote w:type="continuationSeparator" w:id="0">
    <w:p w14:paraId="32FA8D66" w14:textId="77777777" w:rsidR="008B0772" w:rsidRDefault="008B0772"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D34B0E" w:rsidRDefault="00D34B0E">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D34B0E" w:rsidRDefault="00D34B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A63AD" w14:textId="77777777" w:rsidR="008B0772" w:rsidRDefault="008B0772" w:rsidP="00DD5D20">
      <w:pPr>
        <w:spacing w:after="0" w:line="240" w:lineRule="auto"/>
      </w:pPr>
      <w:r>
        <w:separator/>
      </w:r>
    </w:p>
  </w:footnote>
  <w:footnote w:type="continuationSeparator" w:id="0">
    <w:p w14:paraId="0712B455" w14:textId="77777777" w:rsidR="008B0772" w:rsidRDefault="008B0772"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6893"/>
    <w:rsid w:val="0005577D"/>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60C7"/>
    <w:rsid w:val="0011650E"/>
    <w:rsid w:val="00126D99"/>
    <w:rsid w:val="001332DB"/>
    <w:rsid w:val="00136345"/>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59A"/>
    <w:rsid w:val="002D150E"/>
    <w:rsid w:val="002D6D65"/>
    <w:rsid w:val="002E6185"/>
    <w:rsid w:val="002F63EE"/>
    <w:rsid w:val="00322AB7"/>
    <w:rsid w:val="003258A5"/>
    <w:rsid w:val="0032750C"/>
    <w:rsid w:val="003463FA"/>
    <w:rsid w:val="00352561"/>
    <w:rsid w:val="00354126"/>
    <w:rsid w:val="003625E3"/>
    <w:rsid w:val="00366C5C"/>
    <w:rsid w:val="00373D02"/>
    <w:rsid w:val="00377857"/>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4007EE"/>
    <w:rsid w:val="00402980"/>
    <w:rsid w:val="00402FE8"/>
    <w:rsid w:val="0040376C"/>
    <w:rsid w:val="00403851"/>
    <w:rsid w:val="00406342"/>
    <w:rsid w:val="0041191B"/>
    <w:rsid w:val="0041224B"/>
    <w:rsid w:val="00414EB6"/>
    <w:rsid w:val="00420141"/>
    <w:rsid w:val="00420BBE"/>
    <w:rsid w:val="00422C09"/>
    <w:rsid w:val="004273EF"/>
    <w:rsid w:val="00434322"/>
    <w:rsid w:val="00434D60"/>
    <w:rsid w:val="00441789"/>
    <w:rsid w:val="00452FAA"/>
    <w:rsid w:val="00453769"/>
    <w:rsid w:val="0045548B"/>
    <w:rsid w:val="00460EE8"/>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B10EB"/>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CA"/>
    <w:rsid w:val="008D0FD1"/>
    <w:rsid w:val="008D682F"/>
    <w:rsid w:val="008E06FA"/>
    <w:rsid w:val="008F04A0"/>
    <w:rsid w:val="008F0D6D"/>
    <w:rsid w:val="009035F3"/>
    <w:rsid w:val="00906351"/>
    <w:rsid w:val="00922D49"/>
    <w:rsid w:val="00942EBE"/>
    <w:rsid w:val="00943772"/>
    <w:rsid w:val="00952EDF"/>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3D40"/>
    <w:rsid w:val="00A6683E"/>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F4CE2"/>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C406A"/>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D5A6D"/>
    <w:rsid w:val="00DD5D20"/>
    <w:rsid w:val="00DE21CB"/>
    <w:rsid w:val="00DE29AD"/>
    <w:rsid w:val="00DF49ED"/>
    <w:rsid w:val="00DF58A1"/>
    <w:rsid w:val="00E05BAC"/>
    <w:rsid w:val="00E07403"/>
    <w:rsid w:val="00E17CB6"/>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4B6B"/>
    <w:rsid w:val="00EF56DE"/>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81809"/>
    <w:rsid w:val="00F84842"/>
    <w:rsid w:val="00F86C66"/>
    <w:rsid w:val="00F91027"/>
    <w:rsid w:val="00F94B6D"/>
    <w:rsid w:val="00FA2D0F"/>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8D074-8C83-460D-BBD0-139CFB626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7784</TotalTime>
  <Pages>76</Pages>
  <Words>18431</Words>
  <Characters>99531</Characters>
  <Application>Microsoft Office Word</Application>
  <DocSecurity>0</DocSecurity>
  <Lines>829</Lines>
  <Paragraphs>235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114</cp:revision>
  <dcterms:created xsi:type="dcterms:W3CDTF">2019-05-19T21:02:00Z</dcterms:created>
  <dcterms:modified xsi:type="dcterms:W3CDTF">2020-02-18T19:41:00Z</dcterms:modified>
</cp:coreProperties>
</file>